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bsifxn52cjkl" w:id="0"/>
      <w:bookmarkEnd w:id="0"/>
      <w:r w:rsidDel="00000000" w:rsidR="00000000" w:rsidRPr="00000000">
        <w:rPr>
          <w:rtl w:val="0"/>
        </w:rPr>
        <w:t xml:space="preserve">Explanation Template</w:t>
      </w:r>
      <w:r w:rsidDel="00000000" w:rsidR="00000000" w:rsidRPr="00000000">
        <w:rPr>
          <w:rtl w:val="0"/>
        </w:rPr>
      </w:r>
    </w:p>
    <w:p w:rsidR="00000000" w:rsidDel="00000000" w:rsidP="00000000" w:rsidRDefault="00000000" w:rsidRPr="00000000" w14:paraId="00000002">
      <w:pPr>
        <w:rPr>
          <w:sz w:val="18"/>
          <w:szCs w:val="18"/>
        </w:rPr>
      </w:pPr>
      <w:r w:rsidDel="00000000" w:rsidR="00000000" w:rsidRPr="00000000">
        <w:rPr>
          <w:rtl w:val="0"/>
        </w:rPr>
      </w:r>
    </w:p>
    <w:tbl>
      <w:tblPr>
        <w:tblStyle w:val="Table1"/>
        <w:tblW w:w="136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90"/>
        <w:gridCol w:w="2940"/>
        <w:gridCol w:w="9120"/>
        <w:tblGridChange w:id="0">
          <w:tblGrid>
            <w:gridCol w:w="1590"/>
            <w:gridCol w:w="2940"/>
            <w:gridCol w:w="9120"/>
          </w:tblGrid>
        </w:tblGridChange>
      </w:tblGrid>
      <w:tr>
        <w:trPr>
          <w:cantSplit w:val="0"/>
          <w:trHeight w:val="37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3">
            <w:pPr>
              <w:widowControl w:val="0"/>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4">
            <w:pPr>
              <w:widowControl w:val="0"/>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widowControl w:val="0"/>
              <w:spacing w:line="240" w:lineRule="auto"/>
              <w:rPr>
                <w:sz w:val="18"/>
                <w:szCs w:val="18"/>
              </w:rPr>
            </w:pPr>
            <w:r w:rsidDel="00000000" w:rsidR="00000000" w:rsidRPr="00000000">
              <w:rPr>
                <w:sz w:val="18"/>
                <w:szCs w:val="18"/>
                <w:rtl w:val="0"/>
              </w:rPr>
              <w:t xml:space="preserve">Response</w:t>
            </w:r>
          </w:p>
        </w:tc>
      </w:tr>
      <w:tr>
        <w:trPr>
          <w:cantSplit w:val="0"/>
          <w:trHeight w:val="37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06">
            <w:pPr>
              <w:widowControl w:val="0"/>
              <w:rPr>
                <w:b w:val="1"/>
                <w:sz w:val="18"/>
                <w:szCs w:val="18"/>
              </w:rPr>
            </w:pPr>
            <w:r w:rsidDel="00000000" w:rsidR="00000000" w:rsidRPr="00000000">
              <w:rPr>
                <w:rtl w:val="0"/>
              </w:rPr>
            </w:r>
          </w:p>
          <w:p w:rsidR="00000000" w:rsidDel="00000000" w:rsidP="00000000" w:rsidRDefault="00000000" w:rsidRPr="00000000" w14:paraId="00000007">
            <w:pPr>
              <w:widowControl w:val="0"/>
              <w:rPr>
                <w:b w:val="1"/>
                <w:sz w:val="18"/>
                <w:szCs w:val="18"/>
              </w:rPr>
            </w:pPr>
            <w:r w:rsidDel="00000000" w:rsidR="00000000" w:rsidRPr="00000000">
              <w:rPr>
                <w:b w:val="1"/>
                <w:sz w:val="18"/>
                <w:szCs w:val="18"/>
                <w:rtl w:val="0"/>
              </w:rPr>
              <w:t xml:space="preserve">Information about explanation</w:t>
            </w:r>
          </w:p>
          <w:p w:rsidR="00000000" w:rsidDel="00000000" w:rsidP="00000000" w:rsidRDefault="00000000" w:rsidRPr="00000000" w14:paraId="00000008">
            <w:pPr>
              <w:widowControl w:val="0"/>
              <w:rPr>
                <w:b w:val="1"/>
                <w:sz w:val="18"/>
                <w:szCs w:val="18"/>
              </w:rPr>
            </w:pPr>
            <w:r w:rsidDel="00000000" w:rsidR="00000000" w:rsidRPr="00000000">
              <w:rPr>
                <w:rtl w:val="0"/>
              </w:rPr>
            </w:r>
          </w:p>
          <w:p w:rsidR="00000000" w:rsidDel="00000000" w:rsidP="00000000" w:rsidRDefault="00000000" w:rsidRPr="00000000" w14:paraId="00000009">
            <w:pPr>
              <w:widowControl w:val="0"/>
              <w:spacing w:line="240" w:lineRule="auto"/>
              <w:rPr>
                <w:b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widowControl w:val="0"/>
              <w:rPr>
                <w:b w:val="1"/>
                <w:sz w:val="18"/>
                <w:szCs w:val="18"/>
              </w:rPr>
            </w:pPr>
            <w:r w:rsidDel="00000000" w:rsidR="00000000" w:rsidRPr="00000000">
              <w:rPr>
                <w:b w:val="1"/>
                <w:sz w:val="18"/>
                <w:szCs w:val="18"/>
                <w:rtl w:val="0"/>
              </w:rPr>
              <w:t xml:space="preserve">Date on which this explanation is issued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rPr>
                <w:sz w:val="18"/>
                <w:szCs w:val="18"/>
              </w:rPr>
            </w:pPr>
            <w:r w:rsidDel="00000000" w:rsidR="00000000" w:rsidRPr="00000000">
              <w:rPr>
                <w:sz w:val="18"/>
                <w:szCs w:val="18"/>
                <w:rtl w:val="0"/>
              </w:rPr>
              <w:t xml:space="preserve">Please include: name, address, email address, and</w:t>
            </w:r>
          </w:p>
          <w:p w:rsidR="00000000" w:rsidDel="00000000" w:rsidP="00000000" w:rsidRDefault="00000000" w:rsidRPr="00000000" w14:paraId="0000000C">
            <w:pPr>
              <w:widowControl w:val="0"/>
              <w:spacing w:line="240" w:lineRule="auto"/>
              <w:rPr>
                <w:sz w:val="18"/>
                <w:szCs w:val="18"/>
              </w:rPr>
            </w:pPr>
            <w:r w:rsidDel="00000000" w:rsidR="00000000" w:rsidRPr="00000000">
              <w:rPr>
                <w:sz w:val="18"/>
                <w:szCs w:val="18"/>
                <w:rtl w:val="0"/>
              </w:rPr>
              <w:t xml:space="preserve">telephone number</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rPr>
                <w:b w:val="1"/>
                <w:sz w:val="18"/>
                <w:szCs w:val="18"/>
              </w:rPr>
            </w:pPr>
            <w:r w:rsidDel="00000000" w:rsidR="00000000" w:rsidRPr="00000000">
              <w:rPr>
                <w:b w:val="1"/>
                <w:sz w:val="18"/>
                <w:szCs w:val="18"/>
                <w:rtl w:val="0"/>
              </w:rPr>
              <w:t xml:space="preserve">Name of the person(s) (legal or natural) issuing this explanation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rPr>
                <w:sz w:val="18"/>
                <w:szCs w:val="18"/>
              </w:rPr>
            </w:pPr>
            <w:r w:rsidDel="00000000" w:rsidR="00000000" w:rsidRPr="00000000">
              <w:rPr>
                <w:sz w:val="18"/>
                <w:szCs w:val="18"/>
                <w:rtl w:val="0"/>
              </w:rPr>
              <w:t xml:space="preserve">Please include: name, address, email address, and</w:t>
            </w:r>
          </w:p>
          <w:p w:rsidR="00000000" w:rsidDel="00000000" w:rsidP="00000000" w:rsidRDefault="00000000" w:rsidRPr="00000000" w14:paraId="00000010">
            <w:pPr>
              <w:widowControl w:val="0"/>
              <w:rPr>
                <w:sz w:val="18"/>
                <w:szCs w:val="18"/>
              </w:rPr>
            </w:pPr>
            <w:r w:rsidDel="00000000" w:rsidR="00000000" w:rsidRPr="00000000">
              <w:rPr>
                <w:sz w:val="18"/>
                <w:szCs w:val="18"/>
                <w:rtl w:val="0"/>
              </w:rPr>
              <w:t xml:space="preserve">telephone number.</w:t>
            </w:r>
          </w:p>
          <w:p w:rsidR="00000000" w:rsidDel="00000000" w:rsidP="00000000" w:rsidRDefault="00000000" w:rsidRPr="00000000" w14:paraId="00000011">
            <w:pPr>
              <w:widowControl w:val="0"/>
              <w:rPr>
                <w:sz w:val="18"/>
                <w:szCs w:val="18"/>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rPr>
                <w:b w:val="1"/>
                <w:sz w:val="18"/>
                <w:szCs w:val="18"/>
              </w:rPr>
            </w:pPr>
            <w:r w:rsidDel="00000000" w:rsidR="00000000" w:rsidRPr="00000000">
              <w:rPr>
                <w:b w:val="1"/>
                <w:sz w:val="18"/>
                <w:szCs w:val="18"/>
                <w:rtl w:val="0"/>
              </w:rPr>
              <w:t xml:space="preserve">Point of contact of the person(s) (legal or</w:t>
            </w:r>
          </w:p>
          <w:p w:rsidR="00000000" w:rsidDel="00000000" w:rsidP="00000000" w:rsidRDefault="00000000" w:rsidRPr="00000000" w14:paraId="00000014">
            <w:pPr>
              <w:widowControl w:val="0"/>
              <w:rPr>
                <w:b w:val="1"/>
                <w:sz w:val="18"/>
                <w:szCs w:val="18"/>
              </w:rPr>
            </w:pPr>
            <w:r w:rsidDel="00000000" w:rsidR="00000000" w:rsidRPr="00000000">
              <w:rPr>
                <w:b w:val="1"/>
                <w:sz w:val="18"/>
                <w:szCs w:val="18"/>
                <w:rtl w:val="0"/>
              </w:rPr>
              <w:t xml:space="preserve">natural) issuing this explanation (if different to above)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rPr>
                <w:sz w:val="18"/>
                <w:szCs w:val="18"/>
              </w:rPr>
            </w:pPr>
            <w:r w:rsidDel="00000000" w:rsidR="00000000" w:rsidRPr="00000000">
              <w:rPr>
                <w:sz w:val="18"/>
                <w:szCs w:val="18"/>
                <w:rtl w:val="0"/>
              </w:rPr>
              <w:t xml:space="preserve">Please include: name, address, email address, and</w:t>
            </w:r>
          </w:p>
          <w:p w:rsidR="00000000" w:rsidDel="00000000" w:rsidP="00000000" w:rsidRDefault="00000000" w:rsidRPr="00000000" w14:paraId="00000016">
            <w:pPr>
              <w:widowControl w:val="0"/>
              <w:rPr>
                <w:sz w:val="18"/>
                <w:szCs w:val="18"/>
              </w:rPr>
            </w:pPr>
            <w:r w:rsidDel="00000000" w:rsidR="00000000" w:rsidRPr="00000000">
              <w:rPr>
                <w:sz w:val="18"/>
                <w:szCs w:val="18"/>
                <w:rtl w:val="0"/>
              </w:rPr>
              <w:t xml:space="preserve">telephone number.</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rPr>
                <w:b w:val="1"/>
                <w:sz w:val="18"/>
                <w:szCs w:val="18"/>
              </w:rPr>
            </w:pPr>
            <w:r w:rsidDel="00000000" w:rsidR="00000000" w:rsidRPr="00000000">
              <w:rPr>
                <w:b w:val="1"/>
                <w:sz w:val="18"/>
                <w:szCs w:val="18"/>
                <w:rtl w:val="0"/>
              </w:rPr>
              <w:t xml:space="preserve">Confirmation that this explanation is issued for the purposes of Article 8(4) of MiCAR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rPr>
                <w:sz w:val="18"/>
                <w:szCs w:val="18"/>
              </w:rPr>
            </w:pPr>
            <w:r w:rsidDel="00000000" w:rsidR="00000000" w:rsidRPr="00000000">
              <w:rPr>
                <w:sz w:val="18"/>
                <w:szCs w:val="18"/>
                <w:rtl w:val="0"/>
              </w:rPr>
              <w:t xml:space="preserve">Please confirm.</w:t>
            </w:r>
          </w:p>
        </w:tc>
      </w:tr>
      <w:tr>
        <w:trPr>
          <w:cantSplit w:val="0"/>
          <w:trHeight w:val="35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rPr>
                <w:b w:val="1"/>
                <w:sz w:val="18"/>
                <w:szCs w:val="18"/>
              </w:rPr>
            </w:pPr>
            <w:r w:rsidDel="00000000" w:rsidR="00000000" w:rsidRPr="00000000">
              <w:rPr>
                <w:b w:val="1"/>
                <w:sz w:val="18"/>
                <w:szCs w:val="18"/>
                <w:rtl w:val="0"/>
              </w:rPr>
              <w:t xml:space="preserve">Information about offeror(s), person(s) seeking admission to trading, and/or operators of trading</w:t>
            </w:r>
          </w:p>
          <w:p w:rsidR="00000000" w:rsidDel="00000000" w:rsidP="00000000" w:rsidRDefault="00000000" w:rsidRPr="00000000" w14:paraId="0000001B">
            <w:pPr>
              <w:widowControl w:val="0"/>
              <w:spacing w:line="240" w:lineRule="auto"/>
              <w:rPr>
                <w:b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rPr>
                <w:b w:val="1"/>
                <w:sz w:val="18"/>
                <w:szCs w:val="18"/>
              </w:rPr>
            </w:pPr>
            <w:r w:rsidDel="00000000" w:rsidR="00000000" w:rsidRPr="00000000">
              <w:rPr>
                <w:b w:val="1"/>
                <w:sz w:val="18"/>
                <w:szCs w:val="18"/>
                <w:rtl w:val="0"/>
              </w:rPr>
              <w:t xml:space="preserve">Name of the offeror(s), person(s) seeking admission to trading, or operator(s) of trading platforms, on whose behalf this explanation is issued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sz w:val="18"/>
                <w:szCs w:val="18"/>
              </w:rPr>
            </w:pPr>
            <w:r w:rsidDel="00000000" w:rsidR="00000000" w:rsidRPr="00000000">
              <w:rPr>
                <w:sz w:val="18"/>
                <w:szCs w:val="18"/>
                <w:rtl w:val="0"/>
              </w:rPr>
              <w:t xml:space="preserve">Please use the Annex to this template for the provision of this information.</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rPr>
                <w:sz w:val="18"/>
                <w:szCs w:val="18"/>
              </w:rPr>
            </w:pPr>
            <w:r w:rsidDel="00000000" w:rsidR="00000000" w:rsidRPr="00000000">
              <w:rPr>
                <w:b w:val="1"/>
                <w:sz w:val="18"/>
                <w:szCs w:val="18"/>
                <w:rtl w:val="0"/>
              </w:rPr>
              <w:t xml:space="preserve">White paper to which this explanation refers</w:t>
            </w:r>
            <w:r w:rsidDel="00000000" w:rsidR="00000000" w:rsidRPr="00000000">
              <w:rPr>
                <w:sz w:val="18"/>
                <w:szCs w:val="18"/>
                <w:rtl w:val="0"/>
              </w:rPr>
              <w:t xml:space="preserve"> (this should be the ‘final version’ of the white paper submitted for the purpose of Article 8(1) of MiCAR))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rPr>
                <w:sz w:val="18"/>
                <w:szCs w:val="18"/>
              </w:rPr>
            </w:pPr>
            <w:r w:rsidDel="00000000" w:rsidR="00000000" w:rsidRPr="00000000">
              <w:rPr>
                <w:sz w:val="18"/>
                <w:szCs w:val="18"/>
                <w:rtl w:val="0"/>
              </w:rPr>
              <w:t xml:space="preserve">Please indicate the date of the white paper notified</w:t>
            </w:r>
          </w:p>
          <w:p w:rsidR="00000000" w:rsidDel="00000000" w:rsidP="00000000" w:rsidRDefault="00000000" w:rsidRPr="00000000" w14:paraId="00000021">
            <w:pPr>
              <w:widowControl w:val="0"/>
              <w:rPr>
                <w:sz w:val="18"/>
                <w:szCs w:val="18"/>
              </w:rPr>
            </w:pPr>
            <w:r w:rsidDel="00000000" w:rsidR="00000000" w:rsidRPr="00000000">
              <w:rPr>
                <w:sz w:val="18"/>
                <w:szCs w:val="18"/>
                <w:rtl w:val="0"/>
              </w:rPr>
              <w:t xml:space="preserve">for the purposes of Article 8(1) of MiCAR, and assessed for the purposes of this explanation and to</w:t>
            </w:r>
          </w:p>
          <w:p w:rsidR="00000000" w:rsidDel="00000000" w:rsidP="00000000" w:rsidRDefault="00000000" w:rsidRPr="00000000" w14:paraId="00000022">
            <w:pPr>
              <w:widowControl w:val="0"/>
              <w:rPr>
                <w:sz w:val="18"/>
                <w:szCs w:val="18"/>
              </w:rPr>
            </w:pPr>
            <w:r w:rsidDel="00000000" w:rsidR="00000000" w:rsidRPr="00000000">
              <w:rPr>
                <w:sz w:val="18"/>
                <w:szCs w:val="18"/>
                <w:rtl w:val="0"/>
              </w:rPr>
              <w:t xml:space="preserve">which this explanation refers. Please also attach a</w:t>
            </w:r>
          </w:p>
          <w:p w:rsidR="00000000" w:rsidDel="00000000" w:rsidP="00000000" w:rsidRDefault="00000000" w:rsidRPr="00000000" w14:paraId="00000023">
            <w:pPr>
              <w:widowControl w:val="0"/>
              <w:rPr>
                <w:sz w:val="18"/>
                <w:szCs w:val="18"/>
              </w:rPr>
            </w:pPr>
            <w:r w:rsidDel="00000000" w:rsidR="00000000" w:rsidRPr="00000000">
              <w:rPr>
                <w:sz w:val="18"/>
                <w:szCs w:val="18"/>
                <w:rtl w:val="0"/>
              </w:rPr>
              <w:t xml:space="preserve">copy of the white paper to this explanation.</w:t>
            </w: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rPr>
                <w:b w:val="1"/>
                <w:sz w:val="18"/>
                <w:szCs w:val="18"/>
              </w:rPr>
            </w:pPr>
            <w:r w:rsidDel="00000000" w:rsidR="00000000" w:rsidRPr="00000000">
              <w:rPr>
                <w:b w:val="1"/>
                <w:sz w:val="18"/>
                <w:szCs w:val="18"/>
                <w:rtl w:val="0"/>
              </w:rPr>
              <w:t xml:space="preserve">Member State(s) in which the offer to the public or admission to trading will take place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sz w:val="18"/>
                <w:szCs w:val="18"/>
                <w:highlight w:val="yellow"/>
              </w:rPr>
            </w:pPr>
            <w:r w:rsidDel="00000000" w:rsidR="00000000" w:rsidRPr="00000000">
              <w:rPr>
                <w:sz w:val="18"/>
                <w:szCs w:val="18"/>
                <w:rtl w:val="0"/>
              </w:rPr>
              <w:t xml:space="preserve">AT, BE, BG, HR, CY, CZ, DK, EE, FI, FR, DE, GR, HU, IE, IT, LV, LT, LU, MT, NL, PL, PT, RO, SK, SI, ES, SE </w:t>
            </w:r>
            <w:r w:rsidDel="00000000" w:rsidR="00000000" w:rsidRPr="00000000">
              <w:rPr>
                <w:sz w:val="18"/>
                <w:szCs w:val="18"/>
                <w:highlight w:val="yellow"/>
                <w:rtl w:val="0"/>
              </w:rPr>
              <w:t xml:space="preserve">(IF IT WILL BE LISTED IN ALL)</w:t>
            </w:r>
          </w:p>
        </w:tc>
      </w:tr>
      <w:tr>
        <w:trPr>
          <w:cantSplit w:val="0"/>
          <w:trHeight w:val="38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b w:val="1"/>
                <w:sz w:val="18"/>
                <w:szCs w:val="18"/>
              </w:rPr>
            </w:pPr>
            <w:r w:rsidDel="00000000" w:rsidR="00000000" w:rsidRPr="00000000">
              <w:rPr>
                <w:b w:val="1"/>
                <w:sz w:val="18"/>
                <w:szCs w:val="18"/>
                <w:rtl w:val="0"/>
              </w:rPr>
              <w:t xml:space="preserve">Crypto-asset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rPr>
                <w:b w:val="1"/>
                <w:sz w:val="18"/>
                <w:szCs w:val="18"/>
              </w:rPr>
            </w:pPr>
            <w:r w:rsidDel="00000000" w:rsidR="00000000" w:rsidRPr="00000000">
              <w:rPr>
                <w:b w:val="1"/>
                <w:sz w:val="18"/>
                <w:szCs w:val="18"/>
                <w:rtl w:val="0"/>
              </w:rPr>
              <w:t xml:space="preserve">Applicable law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76" w:lineRule="auto"/>
              <w:rPr>
                <w:sz w:val="16"/>
                <w:szCs w:val="16"/>
              </w:rPr>
            </w:pPr>
            <w:r w:rsidDel="00000000" w:rsidR="00000000" w:rsidRPr="00000000">
              <w:rPr>
                <w:sz w:val="18"/>
                <w:szCs w:val="18"/>
                <w:rtl w:val="0"/>
              </w:rPr>
              <w:t xml:space="preserve">Please indicate the law applicable to the crypto-asset as referred to in the white paper.</w:t>
            </w:r>
            <w:r w:rsidDel="00000000" w:rsidR="00000000" w:rsidRPr="00000000">
              <w:rPr>
                <w:rtl w:val="0"/>
              </w:rPr>
            </w:r>
          </w:p>
        </w:tc>
      </w:tr>
      <w:tr>
        <w:trPr>
          <w:cantSplit w:val="0"/>
          <w:trHeight w:val="38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rPr>
                <w:b w:val="1"/>
                <w:sz w:val="18"/>
                <w:szCs w:val="18"/>
              </w:rPr>
            </w:pPr>
            <w:r w:rsidDel="00000000" w:rsidR="00000000" w:rsidRPr="00000000">
              <w:rPr>
                <w:b w:val="1"/>
                <w:sz w:val="18"/>
                <w:szCs w:val="18"/>
                <w:rtl w:val="0"/>
              </w:rPr>
              <w:t xml:space="preserve">Executive summary of the regulatory classification of the crypto-asset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rPr>
                <w:sz w:val="18"/>
                <w:szCs w:val="18"/>
              </w:rPr>
            </w:pPr>
            <w:r w:rsidDel="00000000" w:rsidR="00000000" w:rsidRPr="00000000">
              <w:rPr>
                <w:sz w:val="18"/>
                <w:szCs w:val="18"/>
                <w:rtl w:val="0"/>
              </w:rPr>
              <w:t xml:space="preserve">Please indicate the purported regulatory classification and any key points you wish to highlight in the executive summary.</w:t>
            </w:r>
          </w:p>
        </w:tc>
      </w:tr>
      <w:tr>
        <w:trPr>
          <w:cantSplit w:val="0"/>
          <w:trHeight w:val="38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rPr>
                <w:b w:val="1"/>
                <w:sz w:val="18"/>
                <w:szCs w:val="18"/>
              </w:rPr>
            </w:pPr>
            <w:r w:rsidDel="00000000" w:rsidR="00000000" w:rsidRPr="00000000">
              <w:rPr>
                <w:b w:val="1"/>
                <w:sz w:val="18"/>
                <w:szCs w:val="18"/>
                <w:rtl w:val="0"/>
              </w:rPr>
              <w:t xml:space="preserve">Detailed explanation that the digital representation to which the white paper relates is a crypto-asset within the meaning of Article 3(1), point (5), of MiCAR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rPr>
                <w:sz w:val="18"/>
                <w:szCs w:val="18"/>
              </w:rPr>
            </w:pPr>
            <w:r w:rsidDel="00000000" w:rsidR="00000000" w:rsidRPr="00000000">
              <w:rPr>
                <w:sz w:val="18"/>
                <w:szCs w:val="18"/>
                <w:rtl w:val="0"/>
              </w:rPr>
              <w:t xml:space="preserve">Explanation may be provided in an Annex and should cover all aspects of the definition of ‘crypto-asset’, including the value or right that it represents, and the distributed ledger technology or similar technology on which the crypto-asset may be transferred or stored.</w:t>
            </w:r>
          </w:p>
        </w:tc>
      </w:tr>
      <w:tr>
        <w:trPr>
          <w:cantSplit w:val="0"/>
          <w:trHeight w:val="38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rPr>
                <w:b w:val="1"/>
                <w:sz w:val="18"/>
                <w:szCs w:val="18"/>
              </w:rPr>
            </w:pPr>
            <w:r w:rsidDel="00000000" w:rsidR="00000000" w:rsidRPr="00000000">
              <w:rPr>
                <w:b w:val="1"/>
                <w:sz w:val="18"/>
                <w:szCs w:val="18"/>
                <w:rtl w:val="0"/>
              </w:rPr>
              <w:t xml:space="preserve">Detailed explanation that the crypto-asset to which the white paper relates is not an electronic money token within the meaning of Article 3(1), point (7), of MiCAR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rPr>
                <w:sz w:val="18"/>
                <w:szCs w:val="18"/>
              </w:rPr>
            </w:pPr>
            <w:r w:rsidDel="00000000" w:rsidR="00000000" w:rsidRPr="00000000">
              <w:rPr>
                <w:sz w:val="18"/>
                <w:szCs w:val="18"/>
                <w:rtl w:val="0"/>
              </w:rPr>
              <w:t xml:space="preserve">Explanation may be provided in an Annex and should include all aspects that demonstrate that the cryptoasset is not intended to purport to maintain a stable value by reference to an official currency, with full cross-references to the relevant provisions of the white paper.</w:t>
            </w:r>
          </w:p>
        </w:tc>
      </w:tr>
      <w:tr>
        <w:trPr>
          <w:cantSplit w:val="0"/>
          <w:trHeight w:val="38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rPr>
                <w:b w:val="1"/>
                <w:sz w:val="18"/>
                <w:szCs w:val="18"/>
              </w:rPr>
            </w:pPr>
            <w:r w:rsidDel="00000000" w:rsidR="00000000" w:rsidRPr="00000000">
              <w:rPr>
                <w:b w:val="1"/>
                <w:sz w:val="18"/>
                <w:szCs w:val="18"/>
                <w:rtl w:val="0"/>
              </w:rPr>
              <w:t xml:space="preserve">Detailed explanation that the crypto-asset to which the white paper relates is not an asset-referenced token within the meaning of Article 3(1), point (6), of MiCAR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rPr>
                <w:sz w:val="18"/>
                <w:szCs w:val="18"/>
              </w:rPr>
            </w:pPr>
            <w:r w:rsidDel="00000000" w:rsidR="00000000" w:rsidRPr="00000000">
              <w:rPr>
                <w:sz w:val="18"/>
                <w:szCs w:val="18"/>
                <w:rtl w:val="0"/>
              </w:rPr>
              <w:t xml:space="preserve">Explanation may be provided in an Annex and should include all aspects that demonstrate that the cryptoasset is not intended to purport to maintain a stable value by reference to another value or right or a combination thereof, with full cross-references to the relevant provisions of the white paper.</w:t>
            </w:r>
          </w:p>
        </w:tc>
      </w:tr>
      <w:tr>
        <w:trPr>
          <w:cantSplit w:val="0"/>
          <w:trHeight w:val="38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rPr>
                <w:b w:val="1"/>
                <w:sz w:val="18"/>
                <w:szCs w:val="18"/>
              </w:rPr>
            </w:pPr>
            <w:r w:rsidDel="00000000" w:rsidR="00000000" w:rsidRPr="00000000">
              <w:rPr>
                <w:b w:val="1"/>
                <w:sz w:val="18"/>
                <w:szCs w:val="18"/>
                <w:rtl w:val="0"/>
              </w:rPr>
              <w:t xml:space="preserve">Detailed explanation that the</w:t>
            </w:r>
          </w:p>
          <w:p w:rsidR="00000000" w:rsidDel="00000000" w:rsidP="00000000" w:rsidRDefault="00000000" w:rsidRPr="00000000" w14:paraId="00000038">
            <w:pPr>
              <w:widowControl w:val="0"/>
              <w:rPr>
                <w:b w:val="1"/>
                <w:sz w:val="18"/>
                <w:szCs w:val="18"/>
              </w:rPr>
            </w:pPr>
            <w:r w:rsidDel="00000000" w:rsidR="00000000" w:rsidRPr="00000000">
              <w:rPr>
                <w:b w:val="1"/>
                <w:sz w:val="18"/>
                <w:szCs w:val="18"/>
                <w:rtl w:val="0"/>
              </w:rPr>
              <w:t xml:space="preserve">crypto-asset is not any of the following: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sz w:val="18"/>
                <w:szCs w:val="18"/>
              </w:rPr>
            </w:pPr>
            <w:r w:rsidDel="00000000" w:rsidR="00000000" w:rsidRPr="00000000">
              <w:rPr>
                <w:rtl w:val="0"/>
              </w:rPr>
            </w:r>
          </w:p>
        </w:tc>
      </w:tr>
      <w:tr>
        <w:trPr>
          <w:cantSplit w:val="0"/>
          <w:trHeight w:val="38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rPr>
                <w:b w:val="1"/>
                <w:sz w:val="18"/>
                <w:szCs w:val="18"/>
              </w:rPr>
            </w:pPr>
            <w:r w:rsidDel="00000000" w:rsidR="00000000" w:rsidRPr="00000000">
              <w:rPr>
                <w:b w:val="1"/>
                <w:sz w:val="18"/>
                <w:szCs w:val="18"/>
                <w:rtl w:val="0"/>
              </w:rPr>
              <w:t xml:space="preserve">Financial instrument, as referred</w:t>
            </w:r>
          </w:p>
          <w:p w:rsidR="00000000" w:rsidDel="00000000" w:rsidP="00000000" w:rsidRDefault="00000000" w:rsidRPr="00000000" w14:paraId="0000003C">
            <w:pPr>
              <w:widowControl w:val="0"/>
              <w:rPr>
                <w:b w:val="1"/>
                <w:sz w:val="18"/>
                <w:szCs w:val="18"/>
              </w:rPr>
            </w:pPr>
            <w:r w:rsidDel="00000000" w:rsidR="00000000" w:rsidRPr="00000000">
              <w:rPr>
                <w:b w:val="1"/>
                <w:sz w:val="18"/>
                <w:szCs w:val="18"/>
                <w:rtl w:val="0"/>
              </w:rPr>
              <w:t xml:space="preserve">to in Article 2(4), point (a), of</w:t>
            </w:r>
          </w:p>
          <w:p w:rsidR="00000000" w:rsidDel="00000000" w:rsidP="00000000" w:rsidRDefault="00000000" w:rsidRPr="00000000" w14:paraId="0000003D">
            <w:pPr>
              <w:widowControl w:val="0"/>
              <w:rPr>
                <w:b w:val="1"/>
                <w:sz w:val="18"/>
                <w:szCs w:val="18"/>
              </w:rPr>
            </w:pPr>
            <w:r w:rsidDel="00000000" w:rsidR="00000000" w:rsidRPr="00000000">
              <w:rPr>
                <w:b w:val="1"/>
                <w:sz w:val="18"/>
                <w:szCs w:val="18"/>
                <w:rtl w:val="0"/>
              </w:rPr>
              <w:t xml:space="preserve">MiCAR.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rPr>
                <w:b w:val="1"/>
                <w:sz w:val="18"/>
                <w:szCs w:val="18"/>
              </w:rPr>
            </w:pPr>
            <w:r w:rsidDel="00000000" w:rsidR="00000000" w:rsidRPr="00000000">
              <w:rPr>
                <w:b w:val="1"/>
                <w:sz w:val="18"/>
                <w:szCs w:val="18"/>
                <w:rtl w:val="0"/>
              </w:rPr>
              <w:t xml:space="preserve">Source of definition(s) (EU and/or national law as applicable):</w:t>
            </w:r>
          </w:p>
          <w:p w:rsidR="00000000" w:rsidDel="00000000" w:rsidP="00000000" w:rsidRDefault="00000000" w:rsidRPr="00000000" w14:paraId="0000003F">
            <w:pPr>
              <w:widowControl w:val="0"/>
              <w:rPr>
                <w:b w:val="1"/>
                <w:sz w:val="18"/>
                <w:szCs w:val="18"/>
              </w:rPr>
            </w:pPr>
            <w:r w:rsidDel="00000000" w:rsidR="00000000" w:rsidRPr="00000000">
              <w:rPr>
                <w:rtl w:val="0"/>
              </w:rPr>
            </w:r>
          </w:p>
          <w:p w:rsidR="00000000" w:rsidDel="00000000" w:rsidP="00000000" w:rsidRDefault="00000000" w:rsidRPr="00000000" w14:paraId="00000040">
            <w:pPr>
              <w:widowControl w:val="0"/>
              <w:rPr>
                <w:b w:val="1"/>
                <w:sz w:val="18"/>
                <w:szCs w:val="18"/>
              </w:rPr>
            </w:pPr>
            <w:r w:rsidDel="00000000" w:rsidR="00000000" w:rsidRPr="00000000">
              <w:rPr>
                <w:b w:val="1"/>
                <w:sz w:val="18"/>
                <w:szCs w:val="18"/>
                <w:rtl w:val="0"/>
              </w:rPr>
              <w:t xml:space="preserve">Case law (including paragraph references, as appropriate) to which reference is made in the explanation:</w:t>
            </w:r>
          </w:p>
          <w:p w:rsidR="00000000" w:rsidDel="00000000" w:rsidP="00000000" w:rsidRDefault="00000000" w:rsidRPr="00000000" w14:paraId="00000041">
            <w:pPr>
              <w:widowControl w:val="0"/>
              <w:rPr>
                <w:b w:val="1"/>
                <w:sz w:val="18"/>
                <w:szCs w:val="18"/>
              </w:rPr>
            </w:pPr>
            <w:r w:rsidDel="00000000" w:rsidR="00000000" w:rsidRPr="00000000">
              <w:rPr>
                <w:rtl w:val="0"/>
              </w:rPr>
            </w:r>
          </w:p>
          <w:p w:rsidR="00000000" w:rsidDel="00000000" w:rsidP="00000000" w:rsidRDefault="00000000" w:rsidRPr="00000000" w14:paraId="00000042">
            <w:pPr>
              <w:widowControl w:val="0"/>
              <w:rPr>
                <w:b w:val="1"/>
                <w:sz w:val="18"/>
                <w:szCs w:val="18"/>
              </w:rPr>
            </w:pPr>
            <w:r w:rsidDel="00000000" w:rsidR="00000000" w:rsidRPr="00000000">
              <w:rPr>
                <w:b w:val="1"/>
                <w:sz w:val="18"/>
                <w:szCs w:val="18"/>
                <w:rtl w:val="0"/>
              </w:rPr>
              <w:t xml:space="preserve">Regulatory measures or guidance to which reference is made in the explanation (including the Guidelines adopted pursuant to Article 2(5) of MiCAR):</w:t>
            </w:r>
          </w:p>
          <w:p w:rsidR="00000000" w:rsidDel="00000000" w:rsidP="00000000" w:rsidRDefault="00000000" w:rsidRPr="00000000" w14:paraId="00000043">
            <w:pPr>
              <w:widowControl w:val="0"/>
              <w:rPr>
                <w:b w:val="1"/>
                <w:sz w:val="18"/>
                <w:szCs w:val="18"/>
              </w:rPr>
            </w:pPr>
            <w:r w:rsidDel="00000000" w:rsidR="00000000" w:rsidRPr="00000000">
              <w:rPr>
                <w:rtl w:val="0"/>
              </w:rPr>
            </w:r>
          </w:p>
          <w:p w:rsidR="00000000" w:rsidDel="00000000" w:rsidP="00000000" w:rsidRDefault="00000000" w:rsidRPr="00000000" w14:paraId="00000044">
            <w:pPr>
              <w:widowControl w:val="0"/>
              <w:rPr>
                <w:b w:val="1"/>
                <w:sz w:val="18"/>
                <w:szCs w:val="18"/>
              </w:rPr>
            </w:pPr>
            <w:r w:rsidDel="00000000" w:rsidR="00000000" w:rsidRPr="00000000">
              <w:rPr>
                <w:b w:val="1"/>
                <w:sz w:val="18"/>
                <w:szCs w:val="18"/>
                <w:rtl w:val="0"/>
              </w:rPr>
              <w:t xml:space="preserve">Explanation:</w:t>
            </w:r>
          </w:p>
          <w:p w:rsidR="00000000" w:rsidDel="00000000" w:rsidP="00000000" w:rsidRDefault="00000000" w:rsidRPr="00000000" w14:paraId="00000045">
            <w:pPr>
              <w:widowControl w:val="0"/>
              <w:rPr>
                <w:sz w:val="18"/>
                <w:szCs w:val="18"/>
              </w:rPr>
            </w:pPr>
            <w:r w:rsidDel="00000000" w:rsidR="00000000" w:rsidRPr="00000000">
              <w:rPr>
                <w:rtl w:val="0"/>
              </w:rPr>
            </w:r>
          </w:p>
          <w:p w:rsidR="00000000" w:rsidDel="00000000" w:rsidP="00000000" w:rsidRDefault="00000000" w:rsidRPr="00000000" w14:paraId="00000046">
            <w:pPr>
              <w:widowControl w:val="0"/>
              <w:rPr>
                <w:i w:val="1"/>
                <w:sz w:val="18"/>
                <w:szCs w:val="18"/>
              </w:rPr>
            </w:pPr>
            <w:r w:rsidDel="00000000" w:rsidR="00000000" w:rsidRPr="00000000">
              <w:rPr>
                <w:i w:val="1"/>
                <w:sz w:val="18"/>
                <w:szCs w:val="18"/>
                <w:rtl w:val="0"/>
              </w:rPr>
              <w:t xml:space="preserve">Note: Explanation may be supplemented in an Annex and should include all aspects that demonstrate that the crypto-asset is not a financial instrument. The explanation should indicate why the crypto-asset does not correspond to any of the financial instrument types (transferable security, money market instrument etc), make full reference to the ESMA Guidelines under Article 2(5) of MiCAR, and any applicable case law, or relevant regulatory or supervisory materials issued by the competent authority for the purposes of [MiFID2] in the home Member State within the meaning of Article 3(1), point (33), of MiCAR.</w:t>
            </w:r>
          </w:p>
        </w:tc>
      </w:tr>
      <w:tr>
        <w:trPr>
          <w:cantSplit w:val="0"/>
          <w:trHeight w:val="38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rPr>
                <w:b w:val="1"/>
                <w:sz w:val="18"/>
                <w:szCs w:val="18"/>
              </w:rPr>
            </w:pPr>
            <w:r w:rsidDel="00000000" w:rsidR="00000000" w:rsidRPr="00000000">
              <w:rPr>
                <w:b w:val="1"/>
                <w:sz w:val="18"/>
                <w:szCs w:val="18"/>
                <w:rtl w:val="0"/>
              </w:rPr>
              <w:t xml:space="preserve">Deposits, including structured deposits, as referred to in Article 2(4), point (b), of MiCAR</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9">
            <w:pPr>
              <w:widowControl w:val="0"/>
              <w:rPr>
                <w:b w:val="1"/>
                <w:sz w:val="18"/>
                <w:szCs w:val="18"/>
              </w:rPr>
            </w:pPr>
            <w:r w:rsidDel="00000000" w:rsidR="00000000" w:rsidRPr="00000000">
              <w:rPr>
                <w:b w:val="1"/>
                <w:sz w:val="18"/>
                <w:szCs w:val="18"/>
                <w:rtl w:val="0"/>
              </w:rPr>
              <w:t xml:space="preserve">Source of definition(s) (EU and/or national law as applicable):</w:t>
            </w:r>
          </w:p>
          <w:p w:rsidR="00000000" w:rsidDel="00000000" w:rsidP="00000000" w:rsidRDefault="00000000" w:rsidRPr="00000000" w14:paraId="0000004A">
            <w:pPr>
              <w:widowControl w:val="0"/>
              <w:rPr>
                <w:b w:val="1"/>
                <w:sz w:val="18"/>
                <w:szCs w:val="18"/>
              </w:rPr>
            </w:pPr>
            <w:r w:rsidDel="00000000" w:rsidR="00000000" w:rsidRPr="00000000">
              <w:rPr>
                <w:rtl w:val="0"/>
              </w:rPr>
            </w:r>
          </w:p>
          <w:p w:rsidR="00000000" w:rsidDel="00000000" w:rsidP="00000000" w:rsidRDefault="00000000" w:rsidRPr="00000000" w14:paraId="0000004B">
            <w:pPr>
              <w:widowControl w:val="0"/>
              <w:rPr>
                <w:b w:val="1"/>
                <w:sz w:val="18"/>
                <w:szCs w:val="18"/>
              </w:rPr>
            </w:pPr>
            <w:r w:rsidDel="00000000" w:rsidR="00000000" w:rsidRPr="00000000">
              <w:rPr>
                <w:b w:val="1"/>
                <w:sz w:val="18"/>
                <w:szCs w:val="18"/>
                <w:rtl w:val="0"/>
              </w:rPr>
              <w:t xml:space="preserve">Case law (including paragraph references, as appropriate) to which reference is made in the explanation:</w:t>
            </w:r>
          </w:p>
          <w:p w:rsidR="00000000" w:rsidDel="00000000" w:rsidP="00000000" w:rsidRDefault="00000000" w:rsidRPr="00000000" w14:paraId="0000004C">
            <w:pPr>
              <w:widowControl w:val="0"/>
              <w:rPr>
                <w:b w:val="1"/>
                <w:sz w:val="18"/>
                <w:szCs w:val="18"/>
              </w:rPr>
            </w:pPr>
            <w:r w:rsidDel="00000000" w:rsidR="00000000" w:rsidRPr="00000000">
              <w:rPr>
                <w:rtl w:val="0"/>
              </w:rPr>
            </w:r>
          </w:p>
          <w:p w:rsidR="00000000" w:rsidDel="00000000" w:rsidP="00000000" w:rsidRDefault="00000000" w:rsidRPr="00000000" w14:paraId="0000004D">
            <w:pPr>
              <w:widowControl w:val="0"/>
              <w:rPr>
                <w:b w:val="1"/>
                <w:sz w:val="18"/>
                <w:szCs w:val="18"/>
              </w:rPr>
            </w:pPr>
            <w:r w:rsidDel="00000000" w:rsidR="00000000" w:rsidRPr="00000000">
              <w:rPr>
                <w:b w:val="1"/>
                <w:sz w:val="18"/>
                <w:szCs w:val="18"/>
                <w:rtl w:val="0"/>
              </w:rPr>
              <w:t xml:space="preserve">Regulatory measures or guidance to which reference is made in the explanation:</w:t>
            </w:r>
          </w:p>
          <w:p w:rsidR="00000000" w:rsidDel="00000000" w:rsidP="00000000" w:rsidRDefault="00000000" w:rsidRPr="00000000" w14:paraId="0000004E">
            <w:pPr>
              <w:widowControl w:val="0"/>
              <w:rPr>
                <w:b w:val="1"/>
                <w:sz w:val="18"/>
                <w:szCs w:val="18"/>
              </w:rPr>
            </w:pPr>
            <w:r w:rsidDel="00000000" w:rsidR="00000000" w:rsidRPr="00000000">
              <w:rPr>
                <w:rtl w:val="0"/>
              </w:rPr>
            </w:r>
          </w:p>
          <w:p w:rsidR="00000000" w:rsidDel="00000000" w:rsidP="00000000" w:rsidRDefault="00000000" w:rsidRPr="00000000" w14:paraId="0000004F">
            <w:pPr>
              <w:widowControl w:val="0"/>
              <w:rPr>
                <w:b w:val="1"/>
                <w:sz w:val="18"/>
                <w:szCs w:val="18"/>
              </w:rPr>
            </w:pPr>
            <w:r w:rsidDel="00000000" w:rsidR="00000000" w:rsidRPr="00000000">
              <w:rPr>
                <w:b w:val="1"/>
                <w:sz w:val="18"/>
                <w:szCs w:val="18"/>
                <w:rtl w:val="0"/>
              </w:rPr>
              <w:t xml:space="preserve">Explanation:</w:t>
            </w:r>
          </w:p>
          <w:p w:rsidR="00000000" w:rsidDel="00000000" w:rsidP="00000000" w:rsidRDefault="00000000" w:rsidRPr="00000000" w14:paraId="00000050">
            <w:pPr>
              <w:widowControl w:val="0"/>
              <w:rPr>
                <w:sz w:val="18"/>
                <w:szCs w:val="18"/>
              </w:rPr>
            </w:pPr>
            <w:r w:rsidDel="00000000" w:rsidR="00000000" w:rsidRPr="00000000">
              <w:rPr>
                <w:rtl w:val="0"/>
              </w:rPr>
            </w:r>
          </w:p>
          <w:p w:rsidR="00000000" w:rsidDel="00000000" w:rsidP="00000000" w:rsidRDefault="00000000" w:rsidRPr="00000000" w14:paraId="00000051">
            <w:pPr>
              <w:widowControl w:val="0"/>
              <w:rPr>
                <w:i w:val="1"/>
                <w:sz w:val="18"/>
                <w:szCs w:val="18"/>
              </w:rPr>
            </w:pPr>
            <w:r w:rsidDel="00000000" w:rsidR="00000000" w:rsidRPr="00000000">
              <w:rPr>
                <w:i w:val="1"/>
                <w:sz w:val="18"/>
                <w:szCs w:val="18"/>
                <w:rtl w:val="0"/>
              </w:rPr>
              <w:t xml:space="preserve">Note: Explanation should include all aspects that demonstrate that the crypto-asset is not a deposit. The explanation should make full reference to any applicable case law, or relevant regulatory or supervisory materials issued by the competent authority for the purposes of [CRD/CRR] in the home Member State within the meaning of Article 3(1), point (33), of MiCAR</w:t>
            </w:r>
          </w:p>
        </w:tc>
      </w:tr>
      <w:tr>
        <w:trPr>
          <w:cantSplit w:val="0"/>
          <w:trHeight w:val="38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rPr>
                <w:b w:val="1"/>
                <w:sz w:val="18"/>
                <w:szCs w:val="18"/>
              </w:rPr>
            </w:pPr>
            <w:r w:rsidDel="00000000" w:rsidR="00000000" w:rsidRPr="00000000">
              <w:rPr>
                <w:b w:val="1"/>
                <w:sz w:val="18"/>
                <w:szCs w:val="18"/>
                <w:rtl w:val="0"/>
              </w:rPr>
              <w:t xml:space="preserve">- Funds as referred to in Article 2(4), point (c), of MiCAR</w:t>
            </w:r>
          </w:p>
        </w:tc>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54">
            <w:pPr>
              <w:widowControl w:val="0"/>
              <w:rPr>
                <w:b w:val="1"/>
                <w:sz w:val="18"/>
                <w:szCs w:val="18"/>
              </w:rPr>
            </w:pPr>
            <w:r w:rsidDel="00000000" w:rsidR="00000000" w:rsidRPr="00000000">
              <w:rPr>
                <w:b w:val="1"/>
                <w:sz w:val="18"/>
                <w:szCs w:val="18"/>
                <w:rtl w:val="0"/>
              </w:rPr>
              <w:t xml:space="preserve">Source of definition(s) (EU and/or national law as</w:t>
            </w:r>
          </w:p>
          <w:p w:rsidR="00000000" w:rsidDel="00000000" w:rsidP="00000000" w:rsidRDefault="00000000" w:rsidRPr="00000000" w14:paraId="00000055">
            <w:pPr>
              <w:widowControl w:val="0"/>
              <w:rPr>
                <w:b w:val="1"/>
                <w:sz w:val="18"/>
                <w:szCs w:val="18"/>
              </w:rPr>
            </w:pPr>
            <w:r w:rsidDel="00000000" w:rsidR="00000000" w:rsidRPr="00000000">
              <w:rPr>
                <w:b w:val="1"/>
                <w:sz w:val="18"/>
                <w:szCs w:val="18"/>
                <w:rtl w:val="0"/>
              </w:rPr>
              <w:t xml:space="preserve">applicable):</w:t>
            </w:r>
          </w:p>
          <w:p w:rsidR="00000000" w:rsidDel="00000000" w:rsidP="00000000" w:rsidRDefault="00000000" w:rsidRPr="00000000" w14:paraId="00000056">
            <w:pPr>
              <w:widowControl w:val="0"/>
              <w:rPr>
                <w:b w:val="1"/>
                <w:sz w:val="18"/>
                <w:szCs w:val="18"/>
              </w:rPr>
            </w:pPr>
            <w:r w:rsidDel="00000000" w:rsidR="00000000" w:rsidRPr="00000000">
              <w:rPr>
                <w:rtl w:val="0"/>
              </w:rPr>
            </w:r>
          </w:p>
          <w:p w:rsidR="00000000" w:rsidDel="00000000" w:rsidP="00000000" w:rsidRDefault="00000000" w:rsidRPr="00000000" w14:paraId="00000057">
            <w:pPr>
              <w:widowControl w:val="0"/>
              <w:rPr>
                <w:b w:val="1"/>
                <w:sz w:val="18"/>
                <w:szCs w:val="18"/>
              </w:rPr>
            </w:pPr>
            <w:r w:rsidDel="00000000" w:rsidR="00000000" w:rsidRPr="00000000">
              <w:rPr>
                <w:b w:val="1"/>
                <w:sz w:val="18"/>
                <w:szCs w:val="18"/>
                <w:rtl w:val="0"/>
              </w:rPr>
              <w:t xml:space="preserve">Case law (including paragraph references, as appropriate) to which reference is made in the explanation:</w:t>
            </w:r>
          </w:p>
          <w:p w:rsidR="00000000" w:rsidDel="00000000" w:rsidP="00000000" w:rsidRDefault="00000000" w:rsidRPr="00000000" w14:paraId="00000058">
            <w:pPr>
              <w:widowControl w:val="0"/>
              <w:rPr>
                <w:b w:val="1"/>
                <w:sz w:val="18"/>
                <w:szCs w:val="18"/>
              </w:rPr>
            </w:pPr>
            <w:r w:rsidDel="00000000" w:rsidR="00000000" w:rsidRPr="00000000">
              <w:rPr>
                <w:rtl w:val="0"/>
              </w:rPr>
            </w:r>
          </w:p>
          <w:p w:rsidR="00000000" w:rsidDel="00000000" w:rsidP="00000000" w:rsidRDefault="00000000" w:rsidRPr="00000000" w14:paraId="00000059">
            <w:pPr>
              <w:widowControl w:val="0"/>
              <w:rPr>
                <w:b w:val="1"/>
                <w:sz w:val="18"/>
                <w:szCs w:val="18"/>
              </w:rPr>
            </w:pPr>
            <w:r w:rsidDel="00000000" w:rsidR="00000000" w:rsidRPr="00000000">
              <w:rPr>
                <w:b w:val="1"/>
                <w:sz w:val="18"/>
                <w:szCs w:val="18"/>
                <w:rtl w:val="0"/>
              </w:rPr>
              <w:t xml:space="preserve">Regulatory measures or guidance to which reference is made in the explanation:</w:t>
            </w:r>
          </w:p>
          <w:p w:rsidR="00000000" w:rsidDel="00000000" w:rsidP="00000000" w:rsidRDefault="00000000" w:rsidRPr="00000000" w14:paraId="0000005A">
            <w:pPr>
              <w:widowControl w:val="0"/>
              <w:rPr>
                <w:b w:val="1"/>
                <w:sz w:val="18"/>
                <w:szCs w:val="18"/>
              </w:rPr>
            </w:pPr>
            <w:r w:rsidDel="00000000" w:rsidR="00000000" w:rsidRPr="00000000">
              <w:rPr>
                <w:rtl w:val="0"/>
              </w:rPr>
            </w:r>
          </w:p>
          <w:p w:rsidR="00000000" w:rsidDel="00000000" w:rsidP="00000000" w:rsidRDefault="00000000" w:rsidRPr="00000000" w14:paraId="0000005B">
            <w:pPr>
              <w:widowControl w:val="0"/>
              <w:rPr>
                <w:b w:val="1"/>
                <w:sz w:val="18"/>
                <w:szCs w:val="18"/>
              </w:rPr>
            </w:pPr>
            <w:r w:rsidDel="00000000" w:rsidR="00000000" w:rsidRPr="00000000">
              <w:rPr>
                <w:b w:val="1"/>
                <w:sz w:val="18"/>
                <w:szCs w:val="18"/>
                <w:rtl w:val="0"/>
              </w:rPr>
              <w:t xml:space="preserve">Explanation:</w:t>
            </w:r>
          </w:p>
          <w:p w:rsidR="00000000" w:rsidDel="00000000" w:rsidP="00000000" w:rsidRDefault="00000000" w:rsidRPr="00000000" w14:paraId="0000005C">
            <w:pPr>
              <w:widowControl w:val="0"/>
              <w:rPr>
                <w:sz w:val="18"/>
                <w:szCs w:val="18"/>
              </w:rPr>
            </w:pPr>
            <w:r w:rsidDel="00000000" w:rsidR="00000000" w:rsidRPr="00000000">
              <w:rPr>
                <w:rtl w:val="0"/>
              </w:rPr>
            </w:r>
          </w:p>
          <w:p w:rsidR="00000000" w:rsidDel="00000000" w:rsidP="00000000" w:rsidRDefault="00000000" w:rsidRPr="00000000" w14:paraId="0000005D">
            <w:pPr>
              <w:widowControl w:val="0"/>
              <w:rPr>
                <w:i w:val="1"/>
                <w:sz w:val="18"/>
                <w:szCs w:val="18"/>
              </w:rPr>
            </w:pPr>
            <w:r w:rsidDel="00000000" w:rsidR="00000000" w:rsidRPr="00000000">
              <w:rPr>
                <w:i w:val="1"/>
                <w:sz w:val="18"/>
                <w:szCs w:val="18"/>
                <w:rtl w:val="0"/>
              </w:rPr>
              <w:t xml:space="preserve">Note: Explanation should include all aspects that</w:t>
            </w:r>
          </w:p>
          <w:p w:rsidR="00000000" w:rsidDel="00000000" w:rsidP="00000000" w:rsidRDefault="00000000" w:rsidRPr="00000000" w14:paraId="0000005E">
            <w:pPr>
              <w:widowControl w:val="0"/>
              <w:rPr>
                <w:i w:val="1"/>
                <w:sz w:val="18"/>
                <w:szCs w:val="18"/>
              </w:rPr>
            </w:pPr>
            <w:r w:rsidDel="00000000" w:rsidR="00000000" w:rsidRPr="00000000">
              <w:rPr>
                <w:i w:val="1"/>
                <w:sz w:val="18"/>
                <w:szCs w:val="18"/>
                <w:rtl w:val="0"/>
              </w:rPr>
              <w:t xml:space="preserve">demonstrate that the crypto-asset is not funds. The</w:t>
            </w:r>
          </w:p>
          <w:p w:rsidR="00000000" w:rsidDel="00000000" w:rsidP="00000000" w:rsidRDefault="00000000" w:rsidRPr="00000000" w14:paraId="0000005F">
            <w:pPr>
              <w:widowControl w:val="0"/>
              <w:rPr>
                <w:i w:val="1"/>
                <w:sz w:val="18"/>
                <w:szCs w:val="18"/>
              </w:rPr>
            </w:pPr>
            <w:r w:rsidDel="00000000" w:rsidR="00000000" w:rsidRPr="00000000">
              <w:rPr>
                <w:i w:val="1"/>
                <w:sz w:val="18"/>
                <w:szCs w:val="18"/>
                <w:rtl w:val="0"/>
              </w:rPr>
              <w:t xml:space="preserve">explanation should make full reference to any applicable case law, or relevant regulatory or supervisory</w:t>
            </w:r>
          </w:p>
          <w:p w:rsidR="00000000" w:rsidDel="00000000" w:rsidP="00000000" w:rsidRDefault="00000000" w:rsidRPr="00000000" w14:paraId="00000060">
            <w:pPr>
              <w:widowControl w:val="0"/>
              <w:rPr>
                <w:i w:val="1"/>
                <w:sz w:val="18"/>
                <w:szCs w:val="18"/>
              </w:rPr>
            </w:pPr>
            <w:r w:rsidDel="00000000" w:rsidR="00000000" w:rsidRPr="00000000">
              <w:rPr>
                <w:i w:val="1"/>
                <w:sz w:val="18"/>
                <w:szCs w:val="18"/>
                <w:rtl w:val="0"/>
              </w:rPr>
              <w:t xml:space="preserve">materials issued by the competent authority for the</w:t>
            </w:r>
          </w:p>
          <w:p w:rsidR="00000000" w:rsidDel="00000000" w:rsidP="00000000" w:rsidRDefault="00000000" w:rsidRPr="00000000" w14:paraId="00000061">
            <w:pPr>
              <w:widowControl w:val="0"/>
              <w:rPr>
                <w:i w:val="1"/>
                <w:sz w:val="18"/>
                <w:szCs w:val="18"/>
              </w:rPr>
            </w:pPr>
            <w:r w:rsidDel="00000000" w:rsidR="00000000" w:rsidRPr="00000000">
              <w:rPr>
                <w:i w:val="1"/>
                <w:sz w:val="18"/>
                <w:szCs w:val="18"/>
                <w:rtl w:val="0"/>
              </w:rPr>
              <w:t xml:space="preserve">purposes of Directive (EU) 2015/2366 of the European Parliament and of the Council in the home</w:t>
            </w:r>
          </w:p>
          <w:p w:rsidR="00000000" w:rsidDel="00000000" w:rsidP="00000000" w:rsidRDefault="00000000" w:rsidRPr="00000000" w14:paraId="00000062">
            <w:pPr>
              <w:widowControl w:val="0"/>
              <w:rPr>
                <w:i w:val="1"/>
                <w:sz w:val="18"/>
                <w:szCs w:val="18"/>
              </w:rPr>
            </w:pPr>
            <w:r w:rsidDel="00000000" w:rsidR="00000000" w:rsidRPr="00000000">
              <w:rPr>
                <w:i w:val="1"/>
                <w:sz w:val="18"/>
                <w:szCs w:val="18"/>
                <w:rtl w:val="0"/>
              </w:rPr>
              <w:t xml:space="preserve">Member State within the meaning of Article 3(1),</w:t>
            </w:r>
          </w:p>
          <w:p w:rsidR="00000000" w:rsidDel="00000000" w:rsidP="00000000" w:rsidRDefault="00000000" w:rsidRPr="00000000" w14:paraId="00000063">
            <w:pPr>
              <w:widowControl w:val="0"/>
              <w:rPr>
                <w:i w:val="1"/>
                <w:sz w:val="18"/>
                <w:szCs w:val="18"/>
              </w:rPr>
            </w:pPr>
            <w:r w:rsidDel="00000000" w:rsidR="00000000" w:rsidRPr="00000000">
              <w:rPr>
                <w:i w:val="1"/>
                <w:sz w:val="18"/>
                <w:szCs w:val="18"/>
                <w:rtl w:val="0"/>
              </w:rPr>
              <w:t xml:space="preserve">point (33), of MiCAR.</w:t>
            </w:r>
          </w:p>
        </w:tc>
      </w:tr>
      <w:tr>
        <w:trPr>
          <w:cantSplit w:val="0"/>
          <w:trHeight w:val="38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rPr>
                <w:b w:val="1"/>
                <w:sz w:val="18"/>
                <w:szCs w:val="18"/>
              </w:rPr>
            </w:pPr>
            <w:r w:rsidDel="00000000" w:rsidR="00000000" w:rsidRPr="00000000">
              <w:rPr>
                <w:b w:val="1"/>
                <w:sz w:val="18"/>
                <w:szCs w:val="18"/>
                <w:rtl w:val="0"/>
              </w:rPr>
              <w:t xml:space="preserve">Brief explanation, unless more detailed assessment is relevant, that the crypto-asset is not any of the following:</w:t>
            </w:r>
          </w:p>
        </w:tc>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66">
            <w:pPr>
              <w:widowControl w:val="0"/>
              <w:spacing w:line="240" w:lineRule="auto"/>
              <w:rPr>
                <w:sz w:val="18"/>
                <w:szCs w:val="18"/>
              </w:rPr>
            </w:pPr>
            <w:r w:rsidDel="00000000" w:rsidR="00000000" w:rsidRPr="00000000">
              <w:rPr>
                <w:sz w:val="18"/>
                <w:szCs w:val="18"/>
                <w:rtl w:val="0"/>
              </w:rPr>
              <w:t xml:space="preserve"> </w:t>
            </w:r>
          </w:p>
        </w:tc>
      </w:tr>
      <w:tr>
        <w:trPr>
          <w:cantSplit w:val="0"/>
          <w:trHeight w:val="38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rPr>
                <w:b w:val="1"/>
                <w:sz w:val="18"/>
                <w:szCs w:val="18"/>
              </w:rPr>
            </w:pPr>
            <w:r w:rsidDel="00000000" w:rsidR="00000000" w:rsidRPr="00000000">
              <w:rPr>
                <w:b w:val="1"/>
                <w:sz w:val="18"/>
                <w:szCs w:val="18"/>
                <w:rtl w:val="0"/>
              </w:rPr>
              <w:t xml:space="preserve">- Securitisation positions as referred to in Article 2(4), point (d), of MiCAR</w:t>
            </w:r>
          </w:p>
        </w:tc>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69">
            <w:pPr>
              <w:widowControl w:val="0"/>
              <w:rPr>
                <w:i w:val="1"/>
                <w:sz w:val="18"/>
                <w:szCs w:val="18"/>
              </w:rPr>
            </w:pPr>
            <w:r w:rsidDel="00000000" w:rsidR="00000000" w:rsidRPr="00000000">
              <w:rPr>
                <w:i w:val="1"/>
                <w:sz w:val="18"/>
                <w:szCs w:val="18"/>
                <w:rtl w:val="0"/>
              </w:rPr>
              <w:t xml:space="preserve">Note: Explanation should confirm that the crypto-asset is not a securitisation position.</w:t>
            </w:r>
          </w:p>
        </w:tc>
      </w:tr>
      <w:tr>
        <w:trPr>
          <w:cantSplit w:val="0"/>
          <w:trHeight w:val="38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rPr>
                <w:b w:val="1"/>
                <w:sz w:val="18"/>
                <w:szCs w:val="18"/>
              </w:rPr>
            </w:pPr>
            <w:r w:rsidDel="00000000" w:rsidR="00000000" w:rsidRPr="00000000">
              <w:rPr>
                <w:b w:val="1"/>
                <w:sz w:val="18"/>
                <w:szCs w:val="18"/>
                <w:rtl w:val="0"/>
              </w:rPr>
              <w:t xml:space="preserve">- Non-life or life insurance products or reinsurance or retrocession contracts as referred to in Article 2(4), point (e), of MiCAR</w:t>
            </w:r>
          </w:p>
          <w:p w:rsidR="00000000" w:rsidDel="00000000" w:rsidP="00000000" w:rsidRDefault="00000000" w:rsidRPr="00000000" w14:paraId="0000006C">
            <w:pPr>
              <w:widowControl w:val="0"/>
              <w:rPr>
                <w:b w:val="1"/>
                <w:sz w:val="18"/>
                <w:szCs w:val="18"/>
              </w:rPr>
            </w:pP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6D">
            <w:pPr>
              <w:widowControl w:val="0"/>
              <w:rPr>
                <w:i w:val="1"/>
                <w:sz w:val="18"/>
                <w:szCs w:val="18"/>
              </w:rPr>
            </w:pPr>
            <w:r w:rsidDel="00000000" w:rsidR="00000000" w:rsidRPr="00000000">
              <w:rPr>
                <w:i w:val="1"/>
                <w:sz w:val="18"/>
                <w:szCs w:val="18"/>
                <w:rtl w:val="0"/>
              </w:rPr>
              <w:t xml:space="preserve">Note: Explanation should confirm that the crypto-asset is not a non-life or life insurance product.</w:t>
            </w:r>
          </w:p>
        </w:tc>
      </w:tr>
      <w:tr>
        <w:trPr>
          <w:cantSplit w:val="0"/>
          <w:trHeight w:val="38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rPr>
                <w:b w:val="1"/>
                <w:sz w:val="18"/>
                <w:szCs w:val="18"/>
              </w:rPr>
            </w:pPr>
            <w:r w:rsidDel="00000000" w:rsidR="00000000" w:rsidRPr="00000000">
              <w:rPr>
                <w:b w:val="1"/>
                <w:sz w:val="18"/>
                <w:szCs w:val="18"/>
                <w:rtl w:val="0"/>
              </w:rPr>
              <w:t xml:space="preserve">- Pension product as referred to in Article 2(4), point (f), of MiCAR</w:t>
            </w:r>
          </w:p>
          <w:p w:rsidR="00000000" w:rsidDel="00000000" w:rsidP="00000000" w:rsidRDefault="00000000" w:rsidRPr="00000000" w14:paraId="00000070">
            <w:pPr>
              <w:widowControl w:val="0"/>
              <w:rPr>
                <w:b w:val="1"/>
                <w:sz w:val="18"/>
                <w:szCs w:val="18"/>
              </w:rPr>
            </w:pPr>
            <w:r w:rsidDel="00000000" w:rsidR="00000000" w:rsidRPr="00000000">
              <w:rPr>
                <w:rtl w:val="0"/>
              </w:rPr>
            </w:r>
          </w:p>
          <w:p w:rsidR="00000000" w:rsidDel="00000000" w:rsidP="00000000" w:rsidRDefault="00000000" w:rsidRPr="00000000" w14:paraId="00000071">
            <w:pPr>
              <w:widowControl w:val="0"/>
              <w:rPr>
                <w:b w:val="1"/>
                <w:sz w:val="18"/>
                <w:szCs w:val="18"/>
              </w:rPr>
            </w:pP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72">
            <w:pPr>
              <w:widowControl w:val="0"/>
              <w:rPr>
                <w:i w:val="1"/>
                <w:sz w:val="18"/>
                <w:szCs w:val="18"/>
              </w:rPr>
            </w:pPr>
            <w:r w:rsidDel="00000000" w:rsidR="00000000" w:rsidRPr="00000000">
              <w:rPr>
                <w:i w:val="1"/>
                <w:sz w:val="18"/>
                <w:szCs w:val="18"/>
                <w:rtl w:val="0"/>
              </w:rPr>
              <w:t xml:space="preserve">Note: Explanation should confirm that the crypto-asset is not a pension product.</w:t>
            </w:r>
          </w:p>
        </w:tc>
      </w:tr>
      <w:tr>
        <w:trPr>
          <w:cantSplit w:val="0"/>
          <w:trHeight w:val="38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rPr>
                <w:b w:val="1"/>
                <w:sz w:val="18"/>
                <w:szCs w:val="18"/>
              </w:rPr>
            </w:pPr>
            <w:r w:rsidDel="00000000" w:rsidR="00000000" w:rsidRPr="00000000">
              <w:rPr>
                <w:b w:val="1"/>
                <w:sz w:val="18"/>
                <w:szCs w:val="18"/>
                <w:rtl w:val="0"/>
              </w:rPr>
              <w:t xml:space="preserve">- Officially recognised occupational pension schemes as referred to in Article 2(4), point (g), of MiCAR</w:t>
            </w:r>
          </w:p>
          <w:p w:rsidR="00000000" w:rsidDel="00000000" w:rsidP="00000000" w:rsidRDefault="00000000" w:rsidRPr="00000000" w14:paraId="00000075">
            <w:pPr>
              <w:widowControl w:val="0"/>
              <w:rPr>
                <w:b w:val="1"/>
                <w:sz w:val="18"/>
                <w:szCs w:val="18"/>
              </w:rPr>
            </w:pP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76">
            <w:pPr>
              <w:widowControl w:val="0"/>
              <w:rPr>
                <w:i w:val="1"/>
                <w:sz w:val="18"/>
                <w:szCs w:val="18"/>
              </w:rPr>
            </w:pPr>
            <w:r w:rsidDel="00000000" w:rsidR="00000000" w:rsidRPr="00000000">
              <w:rPr>
                <w:i w:val="1"/>
                <w:sz w:val="18"/>
                <w:szCs w:val="18"/>
                <w:rtl w:val="0"/>
              </w:rPr>
              <w:t xml:space="preserve">Note: Explanation should confirm that the crypto-asset is not an occupational pension scheme.</w:t>
            </w:r>
          </w:p>
        </w:tc>
      </w:tr>
      <w:tr>
        <w:trPr>
          <w:cantSplit w:val="0"/>
          <w:trHeight w:val="38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rPr>
                <w:b w:val="1"/>
                <w:sz w:val="18"/>
                <w:szCs w:val="18"/>
              </w:rPr>
            </w:pPr>
            <w:r w:rsidDel="00000000" w:rsidR="00000000" w:rsidRPr="00000000">
              <w:rPr>
                <w:b w:val="1"/>
                <w:sz w:val="18"/>
                <w:szCs w:val="18"/>
                <w:rtl w:val="0"/>
              </w:rPr>
              <w:t xml:space="preserve">- Individual pension products as referred to in Article 2(4), point (h), of MiCAR</w:t>
            </w:r>
          </w:p>
          <w:p w:rsidR="00000000" w:rsidDel="00000000" w:rsidP="00000000" w:rsidRDefault="00000000" w:rsidRPr="00000000" w14:paraId="00000079">
            <w:pPr>
              <w:widowControl w:val="0"/>
              <w:spacing w:line="240" w:lineRule="auto"/>
              <w:rPr>
                <w:b w:val="1"/>
                <w:sz w:val="18"/>
                <w:szCs w:val="18"/>
              </w:rPr>
            </w:pP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7A">
            <w:pPr>
              <w:widowControl w:val="0"/>
              <w:rPr>
                <w:i w:val="1"/>
                <w:sz w:val="18"/>
                <w:szCs w:val="18"/>
              </w:rPr>
            </w:pPr>
            <w:r w:rsidDel="00000000" w:rsidR="00000000" w:rsidRPr="00000000">
              <w:rPr>
                <w:i w:val="1"/>
                <w:sz w:val="18"/>
                <w:szCs w:val="18"/>
                <w:rtl w:val="0"/>
              </w:rPr>
              <w:t xml:space="preserve">Note: Explanation should confirm that the crypto-asset is not an individual pension product.</w:t>
            </w:r>
          </w:p>
        </w:tc>
      </w:tr>
      <w:tr>
        <w:trPr>
          <w:cantSplit w:val="0"/>
          <w:trHeight w:val="38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rPr>
                <w:b w:val="1"/>
                <w:sz w:val="18"/>
                <w:szCs w:val="18"/>
              </w:rPr>
            </w:pPr>
            <w:r w:rsidDel="00000000" w:rsidR="00000000" w:rsidRPr="00000000">
              <w:rPr>
                <w:b w:val="1"/>
                <w:sz w:val="18"/>
                <w:szCs w:val="18"/>
                <w:rtl w:val="0"/>
              </w:rPr>
              <w:t xml:space="preserve">- Pan-European Pension Products as referred to in Article 2(4), point (i), of MiCAR</w:t>
            </w:r>
          </w:p>
          <w:p w:rsidR="00000000" w:rsidDel="00000000" w:rsidP="00000000" w:rsidRDefault="00000000" w:rsidRPr="00000000" w14:paraId="0000007D">
            <w:pPr>
              <w:widowControl w:val="0"/>
              <w:spacing w:line="240" w:lineRule="auto"/>
              <w:rPr>
                <w:b w:val="1"/>
                <w:sz w:val="18"/>
                <w:szCs w:val="18"/>
              </w:rPr>
            </w:pP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7E">
            <w:pPr>
              <w:widowControl w:val="0"/>
              <w:rPr>
                <w:i w:val="1"/>
                <w:sz w:val="18"/>
                <w:szCs w:val="18"/>
              </w:rPr>
            </w:pPr>
            <w:r w:rsidDel="00000000" w:rsidR="00000000" w:rsidRPr="00000000">
              <w:rPr>
                <w:i w:val="1"/>
                <w:sz w:val="18"/>
                <w:szCs w:val="18"/>
                <w:rtl w:val="0"/>
              </w:rPr>
              <w:t xml:space="preserve">Note: Explanation should confirm that the crypto-asset is not a Pan-European Pension Product.</w:t>
            </w:r>
          </w:p>
        </w:tc>
      </w:tr>
      <w:tr>
        <w:trPr>
          <w:cantSplit w:val="0"/>
          <w:trHeight w:val="38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rPr>
                <w:b w:val="1"/>
                <w:sz w:val="18"/>
                <w:szCs w:val="18"/>
              </w:rPr>
            </w:pPr>
            <w:r w:rsidDel="00000000" w:rsidR="00000000" w:rsidRPr="00000000">
              <w:rPr>
                <w:b w:val="1"/>
                <w:sz w:val="18"/>
                <w:szCs w:val="18"/>
                <w:rtl w:val="0"/>
              </w:rPr>
              <w:t xml:space="preserve">- Social security schemes as referred to in Article 2(4), point (j), of MiCAR</w:t>
            </w:r>
          </w:p>
          <w:p w:rsidR="00000000" w:rsidDel="00000000" w:rsidP="00000000" w:rsidRDefault="00000000" w:rsidRPr="00000000" w14:paraId="00000081">
            <w:pPr>
              <w:widowControl w:val="0"/>
              <w:spacing w:line="240" w:lineRule="auto"/>
              <w:rPr>
                <w:b w:val="1"/>
                <w:sz w:val="18"/>
                <w:szCs w:val="18"/>
              </w:rPr>
            </w:pP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82">
            <w:pPr>
              <w:widowControl w:val="0"/>
              <w:rPr>
                <w:i w:val="1"/>
                <w:sz w:val="18"/>
                <w:szCs w:val="18"/>
              </w:rPr>
            </w:pPr>
            <w:r w:rsidDel="00000000" w:rsidR="00000000" w:rsidRPr="00000000">
              <w:rPr>
                <w:i w:val="1"/>
                <w:sz w:val="18"/>
                <w:szCs w:val="18"/>
                <w:rtl w:val="0"/>
              </w:rPr>
              <w:t xml:space="preserve">Note: Explanation should confirm that the crypto-asset is not a social security scheme.</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spacing w:line="240" w:lineRule="auto"/>
              <w:rPr>
                <w:b w:val="1"/>
                <w:sz w:val="18"/>
                <w:szCs w:val="18"/>
              </w:rPr>
            </w:pPr>
            <w:r w:rsidDel="00000000" w:rsidR="00000000" w:rsidRPr="00000000">
              <w:rPr>
                <w:b w:val="1"/>
                <w:sz w:val="18"/>
                <w:szCs w:val="18"/>
                <w:rtl w:val="0"/>
              </w:rPr>
              <w:t xml:space="preserve">Additional Relevant information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rPr>
                <w:i w:val="1"/>
                <w:sz w:val="18"/>
                <w:szCs w:val="18"/>
              </w:rPr>
            </w:pPr>
            <w:r w:rsidDel="00000000" w:rsidR="00000000" w:rsidRPr="00000000">
              <w:rPr>
                <w:i w:val="1"/>
                <w:sz w:val="18"/>
                <w:szCs w:val="18"/>
                <w:rtl w:val="0"/>
              </w:rPr>
              <w:t xml:space="preserve">Note: Please set out such other information as you</w:t>
            </w:r>
          </w:p>
          <w:p w:rsidR="00000000" w:rsidDel="00000000" w:rsidP="00000000" w:rsidRDefault="00000000" w:rsidRPr="00000000" w14:paraId="00000086">
            <w:pPr>
              <w:widowControl w:val="0"/>
              <w:rPr>
                <w:i w:val="1"/>
                <w:sz w:val="18"/>
                <w:szCs w:val="18"/>
              </w:rPr>
            </w:pPr>
            <w:r w:rsidDel="00000000" w:rsidR="00000000" w:rsidRPr="00000000">
              <w:rPr>
                <w:i w:val="1"/>
                <w:sz w:val="18"/>
                <w:szCs w:val="18"/>
                <w:rtl w:val="0"/>
              </w:rPr>
              <w:t xml:space="preserve">consider appropriate to explain the regulatory classification of the crypto-asset.</w:t>
            </w:r>
          </w:p>
        </w:tc>
      </w:tr>
    </w:tbl>
    <w:p w:rsidR="00000000" w:rsidDel="00000000" w:rsidP="00000000" w:rsidRDefault="00000000" w:rsidRPr="00000000" w14:paraId="00000087">
      <w:pPr>
        <w:rPr>
          <w:sz w:val="18"/>
          <w:szCs w:val="18"/>
        </w:rPr>
      </w:pPr>
      <w:r w:rsidDel="00000000" w:rsidR="00000000" w:rsidRPr="00000000">
        <w:rPr>
          <w:rtl w:val="0"/>
        </w:rPr>
      </w:r>
    </w:p>
    <w:p w:rsidR="00000000" w:rsidDel="00000000" w:rsidP="00000000" w:rsidRDefault="00000000" w:rsidRPr="00000000" w14:paraId="00000088">
      <w:pPr>
        <w:rPr>
          <w:sz w:val="18"/>
          <w:szCs w:val="18"/>
        </w:rPr>
      </w:pPr>
      <w:r w:rsidDel="00000000" w:rsidR="00000000" w:rsidRPr="00000000">
        <w:rPr>
          <w:rtl w:val="0"/>
        </w:rPr>
      </w:r>
    </w:p>
    <w:p w:rsidR="00000000" w:rsidDel="00000000" w:rsidP="00000000" w:rsidRDefault="00000000" w:rsidRPr="00000000" w14:paraId="00000089">
      <w:pPr>
        <w:pStyle w:val="Heading1"/>
        <w:rPr/>
      </w:pPr>
      <w:bookmarkStart w:colFirst="0" w:colLast="0" w:name="_9tgptdc1zpea" w:id="1"/>
      <w:bookmarkEnd w:id="1"/>
      <w:r w:rsidDel="00000000" w:rsidR="00000000" w:rsidRPr="00000000">
        <w:rPr>
          <w:rtl w:val="0"/>
        </w:rPr>
        <w:t xml:space="preserve">Annex to Template: Information about Offerors, Persons seeking admission to trading, operators of trading platforms</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r>
    </w:p>
    <w:tbl>
      <w:tblPr>
        <w:tblStyle w:val="Table2"/>
        <w:tblW w:w="14190.0" w:type="dxa"/>
        <w:jc w:val="left"/>
        <w:tblInd w:w="-6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90"/>
        <w:gridCol w:w="2700"/>
        <w:gridCol w:w="2700"/>
        <w:gridCol w:w="2700"/>
        <w:gridCol w:w="2700"/>
        <w:tblGridChange w:id="0">
          <w:tblGrid>
            <w:gridCol w:w="3390"/>
            <w:gridCol w:w="2700"/>
            <w:gridCol w:w="2700"/>
            <w:gridCol w:w="2700"/>
            <w:gridCol w:w="27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rPr>
                <w:b w:val="1"/>
                <w:sz w:val="18"/>
                <w:szCs w:val="18"/>
              </w:rPr>
            </w:pPr>
            <w:r w:rsidDel="00000000" w:rsidR="00000000" w:rsidRPr="00000000">
              <w:rPr>
                <w:b w:val="1"/>
                <w:sz w:val="18"/>
                <w:szCs w:val="18"/>
                <w:rtl w:val="0"/>
              </w:rPr>
              <w:t xml:space="preserve">Name of the offeror(s), person(s) </w:t>
            </w:r>
          </w:p>
          <w:p w:rsidR="00000000" w:rsidDel="00000000" w:rsidP="00000000" w:rsidRDefault="00000000" w:rsidRPr="00000000" w14:paraId="0000008D">
            <w:pPr>
              <w:widowControl w:val="0"/>
              <w:rPr>
                <w:b w:val="1"/>
                <w:sz w:val="18"/>
                <w:szCs w:val="18"/>
              </w:rPr>
            </w:pPr>
            <w:r w:rsidDel="00000000" w:rsidR="00000000" w:rsidRPr="00000000">
              <w:rPr>
                <w:b w:val="1"/>
                <w:sz w:val="18"/>
                <w:szCs w:val="18"/>
                <w:rtl w:val="0"/>
              </w:rPr>
              <w:t xml:space="preserve">the offeror(s), person(s) seeking admission to trading, or operator(s) of trading platforms, on whose behalf this explanation is issued</w:t>
            </w:r>
          </w:p>
          <w:p w:rsidR="00000000" w:rsidDel="00000000" w:rsidP="00000000" w:rsidRDefault="00000000" w:rsidRPr="00000000" w14:paraId="0000008E">
            <w:pPr>
              <w:widowControl w:val="0"/>
              <w:rPr>
                <w:b w:val="1"/>
                <w:sz w:val="18"/>
                <w:szCs w:val="18"/>
              </w:rPr>
            </w:pPr>
            <w:r w:rsidDel="00000000" w:rsidR="00000000" w:rsidRPr="00000000">
              <w:rPr>
                <w:rtl w:val="0"/>
              </w:rPr>
            </w:r>
          </w:p>
          <w:p w:rsidR="00000000" w:rsidDel="00000000" w:rsidP="00000000" w:rsidRDefault="00000000" w:rsidRPr="00000000" w14:paraId="0000008F">
            <w:pPr>
              <w:widowControl w:val="0"/>
              <w:rPr>
                <w:b w:val="1"/>
                <w:sz w:val="18"/>
                <w:szCs w:val="18"/>
              </w:rPr>
            </w:pPr>
            <w:r w:rsidDel="00000000" w:rsidR="00000000" w:rsidRPr="00000000">
              <w:rPr>
                <w:rtl w:val="0"/>
              </w:rPr>
            </w:r>
          </w:p>
          <w:p w:rsidR="00000000" w:rsidDel="00000000" w:rsidP="00000000" w:rsidRDefault="00000000" w:rsidRPr="00000000" w14:paraId="00000090">
            <w:pPr>
              <w:widowControl w:val="0"/>
              <w:rPr>
                <w:b w:val="1"/>
                <w:sz w:val="18"/>
                <w:szCs w:val="18"/>
              </w:rPr>
            </w:pPr>
            <w:r w:rsidDel="00000000" w:rsidR="00000000" w:rsidRPr="00000000">
              <w:rPr>
                <w:rtl w:val="0"/>
              </w:rPr>
            </w:r>
          </w:p>
          <w:p w:rsidR="00000000" w:rsidDel="00000000" w:rsidP="00000000" w:rsidRDefault="00000000" w:rsidRPr="00000000" w14:paraId="00000091">
            <w:pPr>
              <w:widowControl w:val="0"/>
              <w:spacing w:line="240" w:lineRule="auto"/>
              <w:rPr>
                <w:b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240" w:lineRule="auto"/>
              <w:rPr>
                <w:b w:val="1"/>
                <w:sz w:val="18"/>
                <w:szCs w:val="18"/>
              </w:rPr>
            </w:pPr>
            <w:r w:rsidDel="00000000" w:rsidR="00000000" w:rsidRPr="00000000">
              <w:rPr>
                <w:b w:val="1"/>
                <w:sz w:val="18"/>
                <w:szCs w:val="18"/>
                <w:rtl w:val="0"/>
              </w:rPr>
              <w:t xml:space="preserve">Regulated status (if any) of the offeror(s), person(s) seeking admission to trading, or operator(s) (authorisation or registration to carry out financial services activity/ies)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line="240" w:lineRule="auto"/>
              <w:rPr>
                <w:b w:val="1"/>
                <w:sz w:val="18"/>
                <w:szCs w:val="18"/>
              </w:rPr>
            </w:pPr>
            <w:r w:rsidDel="00000000" w:rsidR="00000000" w:rsidRPr="00000000">
              <w:rPr>
                <w:b w:val="1"/>
                <w:sz w:val="18"/>
                <w:szCs w:val="18"/>
                <w:rtl w:val="0"/>
              </w:rPr>
              <w:t xml:space="preserve">LEI (if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rPr>
                <w:b w:val="1"/>
                <w:sz w:val="18"/>
                <w:szCs w:val="18"/>
              </w:rPr>
            </w:pPr>
            <w:r w:rsidDel="00000000" w:rsidR="00000000" w:rsidRPr="00000000">
              <w:rPr>
                <w:b w:val="1"/>
                <w:sz w:val="18"/>
                <w:szCs w:val="18"/>
                <w:rtl w:val="0"/>
              </w:rPr>
              <w:t xml:space="preserve">EEA/Member State of establishment, branch or registered office (as applicable)</w:t>
            </w:r>
          </w:p>
          <w:p w:rsidR="00000000" w:rsidDel="00000000" w:rsidP="00000000" w:rsidRDefault="00000000" w:rsidRPr="00000000" w14:paraId="00000095">
            <w:pPr>
              <w:widowControl w:val="0"/>
              <w:rPr>
                <w:b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spacing w:line="240" w:lineRule="auto"/>
              <w:rPr>
                <w:b w:val="1"/>
                <w:sz w:val="18"/>
                <w:szCs w:val="18"/>
              </w:rPr>
            </w:pPr>
            <w:r w:rsidDel="00000000" w:rsidR="00000000" w:rsidRPr="00000000">
              <w:rPr>
                <w:b w:val="1"/>
                <w:sz w:val="18"/>
                <w:szCs w:val="18"/>
                <w:rtl w:val="0"/>
              </w:rPr>
              <w:t xml:space="preserve">Point of Contact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spacing w:line="240" w:lineRule="auto"/>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spacing w:line="240" w:lineRule="auto"/>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spacing w:line="240" w:lineRule="auto"/>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rPr>
                <w:i w:val="1"/>
                <w:sz w:val="18"/>
                <w:szCs w:val="18"/>
              </w:rPr>
            </w:pPr>
            <w:r w:rsidDel="00000000" w:rsidR="00000000" w:rsidRPr="00000000">
              <w:rPr>
                <w:i w:val="1"/>
                <w:sz w:val="18"/>
                <w:szCs w:val="18"/>
                <w:rtl w:val="0"/>
              </w:rPr>
              <w:t xml:space="preserve">Please indicate jurisdiction and</w:t>
            </w:r>
          </w:p>
          <w:p w:rsidR="00000000" w:rsidDel="00000000" w:rsidP="00000000" w:rsidRDefault="00000000" w:rsidRPr="00000000" w14:paraId="0000009B">
            <w:pPr>
              <w:widowControl w:val="0"/>
              <w:rPr>
                <w:i w:val="1"/>
                <w:sz w:val="18"/>
                <w:szCs w:val="18"/>
              </w:rPr>
            </w:pPr>
            <w:r w:rsidDel="00000000" w:rsidR="00000000" w:rsidRPr="00000000">
              <w:rPr>
                <w:i w:val="1"/>
                <w:sz w:val="18"/>
                <w:szCs w:val="18"/>
                <w:rtl w:val="0"/>
              </w:rPr>
              <w:t xml:space="preserve">status (establishment, branch,</w:t>
            </w:r>
          </w:p>
          <w:p w:rsidR="00000000" w:rsidDel="00000000" w:rsidP="00000000" w:rsidRDefault="00000000" w:rsidRPr="00000000" w14:paraId="0000009C">
            <w:pPr>
              <w:widowControl w:val="0"/>
              <w:rPr>
                <w:i w:val="1"/>
                <w:sz w:val="18"/>
                <w:szCs w:val="18"/>
              </w:rPr>
            </w:pPr>
            <w:r w:rsidDel="00000000" w:rsidR="00000000" w:rsidRPr="00000000">
              <w:rPr>
                <w:i w:val="1"/>
                <w:sz w:val="18"/>
                <w:szCs w:val="18"/>
                <w:rtl w:val="0"/>
              </w:rPr>
              <w:t xml:space="preserve">registered office).</w:t>
            </w:r>
          </w:p>
          <w:p w:rsidR="00000000" w:rsidDel="00000000" w:rsidP="00000000" w:rsidRDefault="00000000" w:rsidRPr="00000000" w14:paraId="0000009D">
            <w:pPr>
              <w:widowControl w:val="0"/>
              <w:spacing w:line="240" w:lineRule="auto"/>
              <w:rPr>
                <w:i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rPr>
                <w:i w:val="1"/>
                <w:sz w:val="18"/>
                <w:szCs w:val="18"/>
              </w:rPr>
            </w:pPr>
            <w:r w:rsidDel="00000000" w:rsidR="00000000" w:rsidRPr="00000000">
              <w:rPr>
                <w:i w:val="1"/>
                <w:sz w:val="18"/>
                <w:szCs w:val="18"/>
                <w:rtl w:val="0"/>
              </w:rPr>
              <w:t xml:space="preserve">Please include: name, address, email address, and telephone number.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F">
            <w:pPr>
              <w:widowControl w:val="0"/>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spacing w:after="160" w:line="276"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widowControl w:val="0"/>
              <w:spacing w:line="240" w:lineRule="auto"/>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spacing w:line="240" w:lineRule="auto"/>
              <w:rPr>
                <w:sz w:val="18"/>
                <w:szCs w:val="18"/>
              </w:rPr>
            </w:pPr>
            <w:r w:rsidDel="00000000" w:rsidR="00000000" w:rsidRPr="00000000">
              <w:rPr>
                <w:rtl w:val="0"/>
              </w:rPr>
            </w:r>
          </w:p>
        </w:tc>
      </w:tr>
    </w:tbl>
    <w:p w:rsidR="00000000" w:rsidDel="00000000" w:rsidP="00000000" w:rsidRDefault="00000000" w:rsidRPr="00000000" w14:paraId="000000A4">
      <w:pPr>
        <w:rPr/>
      </w:pPr>
      <w:r w:rsidDel="00000000" w:rsidR="00000000" w:rsidRPr="00000000">
        <w:rPr>
          <w:rtl w:val="0"/>
        </w:rPr>
      </w:r>
    </w:p>
    <w:sectPr>
      <w:pgSz w:h="12240" w:w="15840"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28"/>
      <w:szCs w:val="28"/>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